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9524"/>
      </w:tblGrid>
      <w:tr>
        <w:tc>
          <w:tcPr>
            <w:tcW w:type="dxa" w:w="9524"/>
            <w:shd w:fill="153A59"/>
            <w:tcMar>
              <w:top w:w="90" w:type="dxa"/>
              <w:start w:w="120" w:type="dxa"/>
              <w:bottom w:w="90" w:type="dxa"/>
              <w:end w:w="120" w:type="dxa"/>
            </w:tcMar>
          </w:tcPr>
          <w:p>
            <w:pPr>
              <w:jc w:val="center"/>
            </w:pPr>
            <w:r>
              <w:rPr>
                <w:rFonts w:ascii="Calibri" w:hAnsi="Calibri"/>
                <w:b/>
                <w:color w:val="FFFFFF"/>
                <w:sz w:val="22"/>
              </w:rPr>
              <w:t>AQUA VITAQUE</w:t>
            </w:r>
          </w:p>
        </w:tc>
      </w:tr>
    </w:tbl>
    <w:p>
      <w:pPr>
        <w:pStyle w:val="ManifestoTitle"/>
        <w:spacing w:before="520" w:after="160"/>
        <w:jc w:val="center"/>
      </w:pPr>
      <w:r>
        <w:rPr>
          <w:rFonts w:ascii="Georgia" w:hAnsi="Georgia"/>
          <w:b/>
          <w:color w:val="153A59"/>
          <w:sz w:val="48"/>
        </w:rPr>
        <w:t>Foundational Manifesto</w:t>
      </w:r>
    </w:p>
    <w:p>
      <w:pPr>
        <w:pStyle w:val="ManifestoSubtitle"/>
        <w:spacing w:after="60"/>
        <w:jc w:val="center"/>
      </w:pPr>
      <w:r>
        <w:rPr>
          <w:rFonts w:ascii="Calibri" w:hAnsi="Calibri"/>
          <w:color w:val="496A80"/>
          <w:sz w:val="23"/>
        </w:rPr>
        <w:t>For the protection of water, life, dignity, ecosystems, and the future</w:t>
      </w:r>
    </w:p>
    <w:p>
      <w:pPr>
        <w:pStyle w:val="ManifestoSubtitle"/>
        <w:spacing w:after="360"/>
        <w:jc w:val="center"/>
      </w:pPr>
      <w:r>
        <w:rPr>
          <w:rFonts w:ascii="Calibri" w:hAnsi="Calibri"/>
          <w:i/>
          <w:color w:val="496A80"/>
          <w:sz w:val="22"/>
        </w:rPr>
        <w:t>A governing declaration for institutions, partners, donors, operators, researchers, and all collaborating parties</w:t>
      </w:r>
    </w:p>
    <w:p>
      <w:pPr>
        <w:pStyle w:val="QuoteLine"/>
        <w:spacing w:after="360"/>
        <w:ind w:left="680" w:right="680"/>
        <w:jc w:val="center"/>
      </w:pPr>
      <w:r>
        <w:rPr>
          <w:rFonts w:ascii="Georgia" w:hAnsi="Georgia"/>
          <w:i/>
          <w:color w:val="153A59"/>
          <w:sz w:val="24"/>
        </w:rPr>
        <w:t>“Water must remain a human right: accessible, protected, scientifically validated, and free from political manipulation.”</w:t>
      </w:r>
    </w:p>
    <w:tbl>
      <w:tblPr>
        <w:tblW w:type="auto" w:w="0"/>
        <w:jc w:val="center"/>
        <w:tblLayout w:type="fixed"/>
        <w:tblLook w:firstColumn="1" w:firstRow="1" w:lastColumn="0" w:lastRow="0" w:noHBand="0" w:noVBand="1" w:val="04A0"/>
        <w:tblBorders>
          <w:top w:val="single" w:sz="8" w:space="0" w:color="D6E1E8"/>
          <w:left w:val="single" w:sz="8" w:space="0" w:color="D6E1E8"/>
          <w:bottom w:val="single" w:sz="8" w:space="0" w:color="D6E1E8"/>
          <w:right w:val="single" w:sz="8" w:space="0" w:color="D6E1E8"/>
          <w:insideH w:val="single" w:sz="8" w:space="0" w:color="D6E1E8"/>
          <w:insideV w:val="single" w:sz="8" w:space="0" w:color="D6E1E8"/>
        </w:tblBorders>
      </w:tblPr>
      <w:tblGrid>
        <w:gridCol w:w="2438"/>
        <w:gridCol w:w="7087"/>
      </w:tblGrid>
      <w:tr>
        <w:tc>
          <w:tcPr>
            <w:tcW w:type="dxa" w:w="4762"/>
            <w:shd w:fill="EAF1F5"/>
            <w:tcMar>
              <w:top w:w="110" w:type="dxa"/>
              <w:start w:w="120" w:type="dxa"/>
              <w:bottom w:w="110" w:type="dxa"/>
              <w:end w:w="120" w:type="dxa"/>
            </w:tcMar>
            <w:vAlign w:val="center"/>
          </w:tcPr>
          <w:p>
            <w:r>
              <w:rPr>
                <w:rFonts w:ascii="Calibri" w:hAnsi="Calibri"/>
                <w:b/>
                <w:color w:val="153A59"/>
                <w:sz w:val="20"/>
              </w:rPr>
              <w:t>Document purpose</w:t>
            </w:r>
          </w:p>
        </w:tc>
        <w:tc>
          <w:tcPr>
            <w:tcW w:type="dxa" w:w="4762"/>
            <w:tcMar>
              <w:top w:w="110" w:type="dxa"/>
              <w:start w:w="120" w:type="dxa"/>
              <w:bottom w:w="110" w:type="dxa"/>
              <w:end w:w="120" w:type="dxa"/>
            </w:tcMar>
            <w:vAlign w:val="center"/>
          </w:tcPr>
          <w:p>
            <w:r>
              <w:rPr>
                <w:rFonts w:ascii="Calibri" w:hAnsi="Calibri"/>
                <w:color w:val="20323F"/>
                <w:sz w:val="20"/>
              </w:rPr>
              <w:t>To define the non-negotiable ethical, humanitarian, scientific, and governance principles of the Aqua Vitaque initiative.</w:t>
            </w:r>
          </w:p>
        </w:tc>
      </w:tr>
      <w:tr>
        <w:tc>
          <w:tcPr>
            <w:tcW w:type="dxa" w:w="4762"/>
            <w:shd w:fill="EAF1F5"/>
            <w:tcMar>
              <w:top w:w="110" w:type="dxa"/>
              <w:start w:w="120" w:type="dxa"/>
              <w:bottom w:w="110" w:type="dxa"/>
              <w:end w:w="120" w:type="dxa"/>
            </w:tcMar>
            <w:vAlign w:val="center"/>
          </w:tcPr>
          <w:p>
            <w:r>
              <w:rPr>
                <w:rFonts w:ascii="Calibri" w:hAnsi="Calibri"/>
                <w:b/>
                <w:color w:val="153A59"/>
                <w:sz w:val="20"/>
              </w:rPr>
              <w:t>Binding use</w:t>
            </w:r>
          </w:p>
        </w:tc>
        <w:tc>
          <w:tcPr>
            <w:tcW w:type="dxa" w:w="4762"/>
            <w:tcMar>
              <w:top w:w="110" w:type="dxa"/>
              <w:start w:w="120" w:type="dxa"/>
              <w:bottom w:w="110" w:type="dxa"/>
              <w:end w:w="120" w:type="dxa"/>
            </w:tcMar>
            <w:vAlign w:val="center"/>
          </w:tcPr>
          <w:p>
            <w:r>
              <w:rPr>
                <w:rFonts w:ascii="Calibri" w:hAnsi="Calibri"/>
                <w:color w:val="20323F"/>
                <w:sz w:val="20"/>
              </w:rPr>
              <w:t>Aqua Vitaque will collaborate only with parties that formally subscribe to the principles and commitments expressed in this manifesto.</w:t>
            </w:r>
          </w:p>
        </w:tc>
      </w:tr>
      <w:tr>
        <w:tc>
          <w:tcPr>
            <w:tcW w:type="dxa" w:w="4762"/>
            <w:shd w:fill="EAF1F5"/>
            <w:tcMar>
              <w:top w:w="110" w:type="dxa"/>
              <w:start w:w="120" w:type="dxa"/>
              <w:bottom w:w="110" w:type="dxa"/>
              <w:end w:w="120" w:type="dxa"/>
            </w:tcMar>
            <w:vAlign w:val="center"/>
          </w:tcPr>
          <w:p>
            <w:r>
              <w:rPr>
                <w:rFonts w:ascii="Calibri" w:hAnsi="Calibri"/>
                <w:b/>
                <w:color w:val="153A59"/>
                <w:sz w:val="20"/>
              </w:rPr>
              <w:t>Strategic basis</w:t>
            </w:r>
          </w:p>
        </w:tc>
        <w:tc>
          <w:tcPr>
            <w:tcW w:type="dxa" w:w="4762"/>
            <w:tcMar>
              <w:top w:w="110" w:type="dxa"/>
              <w:start w:w="120" w:type="dxa"/>
              <w:bottom w:w="110" w:type="dxa"/>
              <w:end w:w="120" w:type="dxa"/>
            </w:tcMar>
            <w:vAlign w:val="center"/>
          </w:tcPr>
          <w:p>
            <w:r>
              <w:rPr>
                <w:rFonts w:ascii="Calibri" w:hAnsi="Calibri"/>
                <w:color w:val="20323F"/>
                <w:sz w:val="20"/>
              </w:rPr>
              <w:t>This text reflects the current RO-first field deployment direction, decontamination-first logic, auditable AI posture, biosensing orientation, and planetary stewardship mission of Aqua Vitaque.</w:t>
            </w:r>
          </w:p>
        </w:tc>
      </w:tr>
    </w:tbl>
    <w:p/>
    <w:p>
      <w:pPr>
        <w:pStyle w:val="SectionHead"/>
        <w:spacing w:before="160" w:after="120"/>
        <w:pBdr>
          <w:bottom w:val="single" w:sz="10" w:space="6" w:color="C9D8E3"/>
        </w:pBdr>
      </w:pPr>
      <w:r>
        <w:rPr>
          <w:rFonts w:ascii="Georgia" w:hAnsi="Georgia"/>
          <w:b/>
          <w:color w:val="153A59"/>
          <w:sz w:val="30"/>
        </w:rPr>
        <w:t>Preamble</w:t>
      </w:r>
    </w:p>
    <w:p>
      <w:pPr>
        <w:spacing w:after="160" w:line="283" w:lineRule="auto"/>
      </w:pPr>
      <w:r>
        <w:rPr>
          <w:rFonts w:ascii="Calibri" w:hAnsi="Calibri"/>
          <w:color w:val="20323F"/>
          <w:sz w:val="21"/>
        </w:rPr>
        <w:t>Aqua Vitaque begins from a simple conviction: no civilization can call itself just while safe water remains scarce, contaminated, weaponized, or financially exploited beyond the reach of those who need it most. Water is not merely a resource. It is a condition of health, peace, food security, ecological continuity, and human dignity.</w:t>
      </w:r>
    </w:p>
    <w:p>
      <w:pPr>
        <w:spacing w:after="160" w:line="283" w:lineRule="auto"/>
      </w:pPr>
      <w:r>
        <w:rPr>
          <w:rFonts w:ascii="Calibri" w:hAnsi="Calibri"/>
          <w:color w:val="20323F"/>
          <w:sz w:val="21"/>
        </w:rPr>
        <w:t>We therefore affirm that access to safe water of verifiable quality must never become an instrument of coercion, war, political domination, predatory speculation, or systemic exclusion. Where water is denied, manipulated, polluted, or rendered unaffordable, life itself is placed under pressure. Aqua Vitaque exists to oppose that condition in both principle and practice.</w:t>
      </w:r>
    </w:p>
    <w:p>
      <w:pPr>
        <w:spacing w:after="160" w:line="283" w:lineRule="auto"/>
      </w:pPr>
      <w:r>
        <w:rPr>
          <w:rFonts w:ascii="Calibri" w:hAnsi="Calibri"/>
          <w:color w:val="20323F"/>
          <w:sz w:val="21"/>
        </w:rPr>
        <w:t>Our mission is not limited to producing water. It is to defend the justice of water and everything that depends upon it: people, hospitals, schools, farms, animals, plants, soils, communities, and the fragile civic order that collapses when essential water security fails. We build governed water infrastructure so that protection, proof, resilience, and accountability accompany every deployment.</w:t>
      </w:r>
    </w:p>
    <w:tbl>
      <w:tblPr>
        <w:tblW w:type="auto" w:w="0"/>
        <w:jc w:val="center"/>
        <w:tblLayout w:type="fixed"/>
        <w:tblLook w:firstColumn="1" w:firstRow="1" w:lastColumn="0" w:lastRow="0" w:noHBand="0" w:noVBand="1" w:val="04A0"/>
        <w:tblBorders>
          <w:top w:val="single" w:sz="10" w:space="0" w:color="C9D8E3"/>
          <w:left w:val="single" w:sz="10" w:space="0" w:color="C9D8E3"/>
          <w:bottom w:val="single" w:sz="10" w:space="0" w:color="C9D8E3"/>
          <w:right w:val="single" w:sz="10" w:space="0" w:color="C9D8E3"/>
          <w:insideH w:val="single" w:sz="10" w:space="0" w:color="C9D8E3"/>
          <w:insideV w:val="single" w:sz="10" w:space="0" w:color="C9D8E3"/>
        </w:tblBorders>
      </w:tblPr>
      <w:tblGrid>
        <w:gridCol w:w="9524"/>
      </w:tblGrid>
      <w:tr>
        <w:tc>
          <w:tcPr>
            <w:tcW w:type="dxa" w:w="9524"/>
            <w:shd w:fill="F4F8FB"/>
            <w:tcMar>
              <w:top w:w="140" w:type="dxa"/>
              <w:start w:w="180" w:type="dxa"/>
              <w:bottom w:w="140" w:type="dxa"/>
              <w:end w:w="180" w:type="dxa"/>
            </w:tcMar>
          </w:tcPr>
          <w:p>
            <w:pPr>
              <w:jc w:val="center"/>
            </w:pPr>
            <w:r>
              <w:rPr>
                <w:rFonts w:ascii="Georgia" w:hAnsi="Georgia"/>
                <w:i/>
                <w:color w:val="153A59"/>
                <w:sz w:val="22"/>
              </w:rPr>
              <w:t>Mission sentence: Aqua Vitaque exists to secure just, verifiable, resilient access to safe water, protect life and ecosystems, and prevent water from ever becoming a weapon or a market of human desperation.</w:t>
            </w:r>
          </w:p>
        </w:tc>
      </w:tr>
    </w:tbl>
    <w:p>
      <w:pPr>
        <w:pStyle w:val="SectionHead"/>
        <w:spacing w:before="280" w:after="80"/>
        <w:pBdr>
          <w:bottom w:val="single" w:sz="8" w:space="5" w:color="D7E1E8"/>
        </w:pBdr>
      </w:pPr>
      <w:r>
        <w:rPr>
          <w:rFonts w:ascii="Georgia" w:hAnsi="Georgia"/>
          <w:b/>
          <w:color w:val="153A59"/>
          <w:sz w:val="30"/>
        </w:rPr>
        <w:t>I. What Aqua Vitaque Stands For</w:t>
      </w:r>
    </w:p>
    <w:p>
      <w:pPr>
        <w:spacing w:after="160" w:line="283" w:lineRule="auto"/>
      </w:pPr>
      <w:r>
        <w:rPr>
          <w:rFonts w:ascii="Calibri" w:hAnsi="Calibri"/>
          <w:color w:val="20323F"/>
          <w:sz w:val="21"/>
        </w:rPr>
        <w:t>Aqua Vitaque is a humanitarian and scientific initiative devoted to field-deployable, modular water infrastructure for decontamination, safe reuse, and, when technically justified, desalination. Our current deployment posture is practical rather than doctrinal: treat contaminated water first, activate desalination when salinity or reuse targets require it, and add concentrate management or resource recovery only where truly justified.</w:t>
      </w:r>
    </w:p>
    <w:p>
      <w:pPr>
        <w:spacing w:after="160" w:line="283" w:lineRule="auto"/>
      </w:pPr>
      <w:r>
        <w:rPr>
          <w:rFonts w:ascii="Calibri" w:hAnsi="Calibri"/>
          <w:color w:val="20323F"/>
          <w:sz w:val="21"/>
        </w:rPr>
        <w:t>We reject the false choice between moral ambition and engineering rigor. The initiative is built on evidence, monitored performance, biological quality gates, auditable operational records, and responsible digital governance. We do not seek symbolic virtue. We seek durable protection under real conditions, including poverty, disaster, conflict, damaged utilities, fragile logistics, and environmental stress.</w:t>
      </w:r>
    </w:p>
    <w:p>
      <w:pPr>
        <w:spacing w:after="160" w:line="283" w:lineRule="auto"/>
      </w:pPr>
      <w:r>
        <w:rPr>
          <w:rFonts w:ascii="Calibri" w:hAnsi="Calibri"/>
          <w:color w:val="20323F"/>
          <w:sz w:val="21"/>
        </w:rPr>
        <w:t>Aqua Vitaque is therefore at once a scientific undertaking, a humanitarian instrument, a security architecture, and an ecological commitment. It is designed to restore continuity of life where water insecurity threatens public health, social stability, and environmental survival.</w:t>
      </w:r>
    </w:p>
    <w:p>
      <w:pPr>
        <w:pStyle w:val="SectionHead"/>
        <w:spacing w:before="280" w:after="80"/>
        <w:pBdr>
          <w:bottom w:val="single" w:sz="8" w:space="5" w:color="D7E1E8"/>
        </w:pBdr>
      </w:pPr>
      <w:r>
        <w:rPr>
          <w:rFonts w:ascii="Georgia" w:hAnsi="Georgia"/>
          <w:b/>
          <w:color w:val="153A59"/>
          <w:sz w:val="30"/>
        </w:rPr>
        <w:t>II. The Truths We Hold to Be Non-Negotiable</w:t>
      </w:r>
    </w:p>
    <w:p>
      <w:pPr>
        <w:spacing w:after="100" w:line="269" w:lineRule="auto"/>
        <w:ind w:left="227" w:hanging="227"/>
      </w:pPr>
      <w:r>
        <w:rPr>
          <w:rFonts w:ascii="Calibri" w:hAnsi="Calibri"/>
          <w:b/>
          <w:color w:val="153A59"/>
          <w:sz w:val="22"/>
        </w:rPr>
        <w:t xml:space="preserve">• </w:t>
      </w:r>
      <w:r>
        <w:rPr>
          <w:rFonts w:ascii="Calibri" w:hAnsi="Calibri"/>
          <w:color w:val="20323F"/>
          <w:sz w:val="21"/>
        </w:rPr>
        <w:t>Water is a human right before it is a commodity.</w:t>
      </w:r>
    </w:p>
    <w:p>
      <w:pPr>
        <w:spacing w:after="100" w:line="269" w:lineRule="auto"/>
        <w:ind w:left="227" w:hanging="227"/>
      </w:pPr>
      <w:r>
        <w:rPr>
          <w:rFonts w:ascii="Calibri" w:hAnsi="Calibri"/>
          <w:b/>
          <w:color w:val="153A59"/>
          <w:sz w:val="22"/>
        </w:rPr>
        <w:t xml:space="preserve">• </w:t>
      </w:r>
      <w:r>
        <w:rPr>
          <w:rFonts w:ascii="Calibri" w:hAnsi="Calibri"/>
          <w:color w:val="20323F"/>
          <w:sz w:val="21"/>
        </w:rPr>
        <w:t>Water quality must be scientifically verifiable, not politically declared or commercially asserted.</w:t>
      </w:r>
    </w:p>
    <w:p>
      <w:pPr>
        <w:spacing w:after="100" w:line="269" w:lineRule="auto"/>
        <w:ind w:left="227" w:hanging="227"/>
      </w:pPr>
      <w:r>
        <w:rPr>
          <w:rFonts w:ascii="Calibri" w:hAnsi="Calibri"/>
          <w:b/>
          <w:color w:val="153A59"/>
          <w:sz w:val="22"/>
        </w:rPr>
        <w:t xml:space="preserve">• </w:t>
      </w:r>
      <w:r>
        <w:rPr>
          <w:rFonts w:ascii="Calibri" w:hAnsi="Calibri"/>
          <w:color w:val="20323F"/>
          <w:sz w:val="21"/>
        </w:rPr>
        <w:t>No person, community, or nation should be forced into dependence, submission, displacement, or preventable disease because access to safe water has been withheld, manipulated, or degraded.</w:t>
      </w:r>
    </w:p>
    <w:p>
      <w:pPr>
        <w:spacing w:after="100" w:line="269" w:lineRule="auto"/>
        <w:ind w:left="227" w:hanging="227"/>
      </w:pPr>
      <w:r>
        <w:rPr>
          <w:rFonts w:ascii="Calibri" w:hAnsi="Calibri"/>
          <w:b/>
          <w:color w:val="153A59"/>
          <w:sz w:val="22"/>
        </w:rPr>
        <w:t xml:space="preserve">• </w:t>
      </w:r>
      <w:r>
        <w:rPr>
          <w:rFonts w:ascii="Calibri" w:hAnsi="Calibri"/>
          <w:color w:val="20323F"/>
          <w:sz w:val="21"/>
        </w:rPr>
        <w:t>The protection of water is inseparable from the protection of food systems, biodiversity, agriculture, public health, and the long-term habitability of the planet.</w:t>
      </w:r>
    </w:p>
    <w:p>
      <w:pPr>
        <w:spacing w:after="100" w:line="269" w:lineRule="auto"/>
        <w:ind w:left="227" w:hanging="227"/>
      </w:pPr>
      <w:r>
        <w:rPr>
          <w:rFonts w:ascii="Calibri" w:hAnsi="Calibri"/>
          <w:b/>
          <w:color w:val="153A59"/>
          <w:sz w:val="22"/>
        </w:rPr>
        <w:t xml:space="preserve">• </w:t>
      </w:r>
      <w:r>
        <w:rPr>
          <w:rFonts w:ascii="Calibri" w:hAnsi="Calibri"/>
          <w:color w:val="20323F"/>
          <w:sz w:val="21"/>
        </w:rPr>
        <w:t>Technological systems entrusted with water must remain transparent in governance, measurable in performance, and bounded by ethics, law, and human oversight.</w:t>
      </w:r>
    </w:p>
    <w:p>
      <w:pPr>
        <w:spacing w:after="100" w:line="269" w:lineRule="auto"/>
        <w:ind w:left="227" w:hanging="227"/>
      </w:pPr>
      <w:r>
        <w:rPr>
          <w:rFonts w:ascii="Calibri" w:hAnsi="Calibri"/>
          <w:b/>
          <w:color w:val="153A59"/>
          <w:sz w:val="22"/>
        </w:rPr>
        <w:t xml:space="preserve">• </w:t>
      </w:r>
      <w:r>
        <w:rPr>
          <w:rFonts w:ascii="Calibri" w:hAnsi="Calibri"/>
          <w:color w:val="20323F"/>
          <w:sz w:val="21"/>
        </w:rPr>
        <w:t>Resilience matters most where institutions are weakest: crisis zones, remote communities, fragile states, field hospitals, refugee settings, post-disaster regions, and places where infrastructure failure becomes a multiplier of suffering.</w:t>
      </w:r>
    </w:p>
    <w:p>
      <w:pPr>
        <w:pStyle w:val="SectionHead"/>
        <w:spacing w:before="280" w:after="80"/>
        <w:pBdr>
          <w:bottom w:val="single" w:sz="8" w:space="5" w:color="D7E1E8"/>
        </w:pBdr>
      </w:pPr>
      <w:r>
        <w:rPr>
          <w:rFonts w:ascii="Georgia" w:hAnsi="Georgia"/>
          <w:b/>
          <w:color w:val="153A59"/>
          <w:sz w:val="30"/>
        </w:rPr>
        <w:t>III. Our Humanitarian Doctrine</w:t>
      </w:r>
    </w:p>
    <w:p>
      <w:pPr>
        <w:spacing w:after="160" w:line="283" w:lineRule="auto"/>
      </w:pPr>
      <w:r>
        <w:rPr>
          <w:rFonts w:ascii="Calibri" w:hAnsi="Calibri"/>
          <w:color w:val="20323F"/>
          <w:sz w:val="21"/>
        </w:rPr>
        <w:t>Aqua Vitaque will prioritize life-preserving deployments over prestige deployments. The first duty of the initiative is to protect people exposed to unsafe water, damaged systems, and contamination threats in conditions where delay has direct human cost.</w:t>
      </w:r>
    </w:p>
    <w:p>
      <w:pPr>
        <w:spacing w:after="160" w:line="283" w:lineRule="auto"/>
      </w:pPr>
      <w:r>
        <w:rPr>
          <w:rFonts w:ascii="Calibri" w:hAnsi="Calibri"/>
          <w:color w:val="20323F"/>
          <w:sz w:val="21"/>
        </w:rPr>
        <w:t>We recognize that contaminated water amplifies infectious disease, undermines clinical care, weakens food production, and drives cycles of displacement and instability. We further recognize that poor water governance can intensify the spread of resistant organisms and complicate the broader fight against antimicrobial resistance. For this reason, water justice is not separate from global health security; it is one of its foundations.</w:t>
      </w:r>
    </w:p>
    <w:p>
      <w:pPr>
        <w:spacing w:after="160" w:line="283" w:lineRule="auto"/>
      </w:pPr>
      <w:r>
        <w:rPr>
          <w:rFonts w:ascii="Calibri" w:hAnsi="Calibri"/>
          <w:color w:val="20323F"/>
          <w:sz w:val="21"/>
        </w:rPr>
        <w:t>Humanitarian deployment does not excuse poor standards. In every context, we will pursue defensible quality monitoring, traceable evidence, maintainable design, local operator training, and operational continuity suited to the realities of the field.</w:t>
      </w:r>
    </w:p>
    <w:p>
      <w:pPr>
        <w:pStyle w:val="SectionHead"/>
        <w:spacing w:before="280" w:after="80"/>
        <w:pBdr>
          <w:bottom w:val="single" w:sz="8" w:space="5" w:color="D7E1E8"/>
        </w:pBdr>
      </w:pPr>
      <w:r>
        <w:rPr>
          <w:rFonts w:ascii="Georgia" w:hAnsi="Georgia"/>
          <w:b/>
          <w:color w:val="153A59"/>
          <w:sz w:val="30"/>
        </w:rPr>
        <w:t>IV. Our Scientific and Technical Commitments</w:t>
      </w:r>
    </w:p>
    <w:p>
      <w:pPr>
        <w:spacing w:after="160" w:line="283" w:lineRule="auto"/>
      </w:pPr>
      <w:r>
        <w:rPr>
          <w:rFonts w:ascii="Calibri" w:hAnsi="Calibri"/>
          <w:color w:val="20323F"/>
          <w:sz w:val="21"/>
        </w:rPr>
        <w:t>We commit to a decontamination-first logic. Aqua Vitaque is not conceived as a single-purpose desalination machine, but as a governed water platform that treats contamination by default and activates desalination or advanced concentration pathways only when the water, the use case, or the disposal constraints require them.</w:t>
      </w:r>
    </w:p>
    <w:p>
      <w:pPr>
        <w:spacing w:after="160" w:line="283" w:lineRule="auto"/>
      </w:pPr>
      <w:r>
        <w:rPr>
          <w:rFonts w:ascii="Calibri" w:hAnsi="Calibri"/>
          <w:color w:val="20323F"/>
          <w:sz w:val="21"/>
        </w:rPr>
        <w:t>We commit to field realism. The present field basis is RO-first for standard desalination, with biosensing, spectroscopic or biological quality monitoring, predictive supervision, and robotic or assisted membrane maintenance supporting practical deployment. Edge-case pathways, such as FO-, MD-, or ZLD-related configurations, remain available where mixed feeds, recovery needs, thermal conditions, or future upgrades justify their complexity.</w:t>
      </w:r>
    </w:p>
    <w:p>
      <w:pPr>
        <w:spacing w:after="160" w:line="283" w:lineRule="auto"/>
      </w:pPr>
      <w:r>
        <w:rPr>
          <w:rFonts w:ascii="Calibri" w:hAnsi="Calibri"/>
          <w:color w:val="20323F"/>
          <w:sz w:val="21"/>
        </w:rPr>
        <w:t>We commit to evidence integrity. Water claims must be backed by measurements, logs, validation routines, and a governance model capable of supporting donor confidence, regulator trust, operator accountability, and public legitimacy.</w:t>
      </w:r>
    </w:p>
    <w:p>
      <w:pPr>
        <w:spacing w:after="160" w:line="283" w:lineRule="auto"/>
      </w:pPr>
      <w:r>
        <w:rPr>
          <w:rFonts w:ascii="Calibri" w:hAnsi="Calibri"/>
          <w:color w:val="20323F"/>
          <w:sz w:val="21"/>
        </w:rPr>
        <w:t>We commit to cybersecurity and resilient control. Any digital layer used in Aqua Vitaque must strengthen, not endanger, critical infrastructure. Auditable AI, bounded decision support, secure telemetry, signed configurations, role-based access, and offline-safe fallback modes are not optional extras; they are safeguards against manipulation, spoofing, ransomware, insider misuse, and operational negligence.</w:t>
      </w:r>
    </w:p>
    <w:p>
      <w:pPr>
        <w:pStyle w:val="SectionHead"/>
        <w:spacing w:before="280" w:after="80"/>
        <w:pBdr>
          <w:bottom w:val="single" w:sz="8" w:space="5" w:color="D7E1E8"/>
        </w:pBdr>
      </w:pPr>
      <w:r>
        <w:rPr>
          <w:rFonts w:ascii="Georgia" w:hAnsi="Georgia"/>
          <w:b/>
          <w:color w:val="153A59"/>
          <w:sz w:val="30"/>
        </w:rPr>
        <w:t>V. Our Ecological Commitments</w:t>
      </w:r>
    </w:p>
    <w:p>
      <w:pPr>
        <w:spacing w:after="160" w:line="283" w:lineRule="auto"/>
      </w:pPr>
      <w:r>
        <w:rPr>
          <w:rFonts w:ascii="Calibri" w:hAnsi="Calibri"/>
          <w:color w:val="20323F"/>
          <w:sz w:val="21"/>
        </w:rPr>
        <w:t>Aqua Vitaque rejects the idea that water security can be separated from ecological security. The initiative exists to defend not only human consumption, but also agricultural continuity, soil function, aquatic life, vegetation, habitat stability, and the broader water cycles that sustain living systems.</w:t>
      </w:r>
    </w:p>
    <w:p>
      <w:pPr>
        <w:spacing w:after="160" w:line="283" w:lineRule="auto"/>
      </w:pPr>
      <w:r>
        <w:rPr>
          <w:rFonts w:ascii="Calibri" w:hAnsi="Calibri"/>
          <w:color w:val="20323F"/>
          <w:sz w:val="21"/>
        </w:rPr>
        <w:t>Where possible, we will favor sustainable energy integration, resource recovery, waste minimization, prudent chemistry, maintainable components, and operational designs that reduce environmental burden rather than shifting it downstream.</w:t>
      </w:r>
    </w:p>
    <w:p>
      <w:pPr>
        <w:spacing w:after="160" w:line="283" w:lineRule="auto"/>
      </w:pPr>
      <w:r>
        <w:rPr>
          <w:rFonts w:ascii="Calibri" w:hAnsi="Calibri"/>
          <w:color w:val="20323F"/>
          <w:sz w:val="21"/>
        </w:rPr>
        <w:t>We will support collaborations in ecosystem recovery, including post-fire or degraded-land contexts, where water stabilization, revegetation, microbial recovery, and land resilience are inseparable from humanitarian and planetary protection.</w:t>
      </w:r>
    </w:p>
    <w:p>
      <w:pPr>
        <w:pStyle w:val="SectionHead"/>
        <w:spacing w:before="280" w:after="80"/>
        <w:pBdr>
          <w:bottom w:val="single" w:sz="8" w:space="5" w:color="D7E1E8"/>
        </w:pBdr>
      </w:pPr>
      <w:r>
        <w:rPr>
          <w:rFonts w:ascii="Georgia" w:hAnsi="Georgia"/>
          <w:b/>
          <w:color w:val="153A59"/>
          <w:sz w:val="30"/>
        </w:rPr>
        <w:t>VI. Our Governance Commitments</w:t>
      </w:r>
    </w:p>
    <w:p>
      <w:pPr>
        <w:spacing w:after="160" w:line="283" w:lineRule="auto"/>
      </w:pPr>
      <w:r>
        <w:rPr>
          <w:rFonts w:ascii="Calibri" w:hAnsi="Calibri"/>
          <w:color w:val="20323F"/>
          <w:sz w:val="21"/>
        </w:rPr>
        <w:t>Aqua Vitaque will be governed through principles of accountability, traceability, scientific honesty, and participatory responsibility. Communities affected by deployments must not be treated as passive recipients; wherever feasible, they should be trained, informed, and included in the stewardship of the systems that protect them.</w:t>
      </w:r>
    </w:p>
    <w:p>
      <w:pPr>
        <w:spacing w:after="160" w:line="283" w:lineRule="auto"/>
      </w:pPr>
      <w:r>
        <w:rPr>
          <w:rFonts w:ascii="Calibri" w:hAnsi="Calibri"/>
          <w:color w:val="20323F"/>
          <w:sz w:val="21"/>
        </w:rPr>
        <w:t>We will favor open scientific contribution, secure data-sharing practices, and verifiable records that allow oversight without sacrificing safety, privacy, or operational integrity. We support the disciplined use of provenance technologies, auditable event logging, and other trust mechanisms when they reinforce accountability and do not become vehicles for surveillance, exclusion, or extractive control.</w:t>
      </w:r>
    </w:p>
    <w:p>
      <w:pPr>
        <w:spacing w:after="160" w:line="283" w:lineRule="auto"/>
      </w:pPr>
      <w:r>
        <w:rPr>
          <w:rFonts w:ascii="Calibri" w:hAnsi="Calibri"/>
          <w:color w:val="20323F"/>
          <w:sz w:val="21"/>
        </w:rPr>
        <w:t>No partner may use Aqua Vitaque’s name, technologies, deployments, or evidence systems to legitimize coercive conduct, unlawful denial of access, discriminatory allocation, environmental abuse, or speculative behavior that subordinates human need to opportunistic gain.</w:t>
      </w:r>
    </w:p>
    <w:p>
      <w:pPr>
        <w:pStyle w:val="SectionHead"/>
        <w:spacing w:before="280" w:after="100"/>
        <w:pBdr>
          <w:bottom w:val="single" w:sz="8" w:space="5" w:color="D7E1E8"/>
        </w:pBdr>
      </w:pPr>
      <w:r>
        <w:rPr>
          <w:rFonts w:ascii="Georgia" w:hAnsi="Georgia"/>
          <w:b/>
          <w:color w:val="153A59"/>
          <w:sz w:val="30"/>
        </w:rPr>
        <w:t>VII. Non-Negotiable Conditions for Collaboration</w:t>
      </w:r>
    </w:p>
    <w:p>
      <w:pPr>
        <w:spacing w:after="160" w:line="283" w:lineRule="auto"/>
      </w:pPr>
      <w:r>
        <w:rPr>
          <w:rFonts w:ascii="Calibri" w:hAnsi="Calibri"/>
          <w:color w:val="20323F"/>
          <w:sz w:val="21"/>
        </w:rPr>
        <w:t>Aqua Vitaque will accept collaboration only with parties that affirm, in writing, all of the following commitments:</w:t>
      </w:r>
    </w:p>
    <w:tbl>
      <w:tblPr>
        <w:tblW w:type="auto" w:w="0"/>
        <w:jc w:val="center"/>
        <w:tblLayout w:type="fixed"/>
        <w:tblLook w:firstColumn="1" w:firstRow="1" w:lastColumn="0" w:lastRow="0" w:noHBand="0" w:noVBand="1" w:val="04A0"/>
        <w:tblBorders>
          <w:top w:val="single" w:sz="8" w:space="0" w:color="C9D8E3"/>
          <w:left w:val="single" w:sz="8" w:space="0" w:color="C9D8E3"/>
          <w:bottom w:val="single" w:sz="8" w:space="0" w:color="C9D8E3"/>
          <w:right w:val="single" w:sz="8" w:space="0" w:color="C9D8E3"/>
          <w:insideH w:val="single" w:sz="8" w:space="0" w:color="C9D8E3"/>
          <w:insideV w:val="single" w:sz="8" w:space="0" w:color="C9D8E3"/>
        </w:tblBorders>
      </w:tblPr>
      <w:tblGrid>
        <w:gridCol w:w="850"/>
        <w:gridCol w:w="8674"/>
      </w:tblGrid>
      <w:tr>
        <w:trPr>
          <w:tblHeader w:val="true"/>
        </w:trPr>
        <w:tc>
          <w:tcPr>
            <w:tcW w:type="dxa" w:w="4762"/>
            <w:shd w:fill="EAF1F5"/>
            <w:tcMar>
              <w:top w:w="100" w:type="dxa"/>
              <w:start w:w="120" w:type="dxa"/>
              <w:bottom w:w="100" w:type="dxa"/>
              <w:end w:w="120" w:type="dxa"/>
            </w:tcMar>
            <w:vAlign w:val="center"/>
          </w:tcPr>
          <w:p>
            <w:pPr>
              <w:jc w:val="center"/>
            </w:pPr>
            <w:r>
              <w:rPr>
                <w:rFonts w:ascii="Calibri" w:hAnsi="Calibri"/>
                <w:b/>
                <w:color w:val="153A59"/>
                <w:sz w:val="20"/>
              </w:rPr>
              <w:t>No.</w:t>
            </w:r>
          </w:p>
        </w:tc>
        <w:tc>
          <w:tcPr>
            <w:tcW w:type="dxa" w:w="4762"/>
            <w:shd w:fill="EAF1F5"/>
            <w:tcMar>
              <w:top w:w="100" w:type="dxa"/>
              <w:start w:w="120" w:type="dxa"/>
              <w:bottom w:w="100" w:type="dxa"/>
              <w:end w:w="120" w:type="dxa"/>
            </w:tcMar>
            <w:vAlign w:val="center"/>
          </w:tcPr>
          <w:p>
            <w:r>
              <w:rPr>
                <w:rFonts w:ascii="Calibri" w:hAnsi="Calibri"/>
                <w:b/>
                <w:color w:val="153A59"/>
                <w:sz w:val="20"/>
              </w:rPr>
              <w:t>Required commitment</w:t>
            </w:r>
          </w:p>
        </w:tc>
      </w:tr>
      <w:tr>
        <w:tc>
          <w:tcPr>
            <w:tcW w:type="dxa" w:w="4762"/>
            <w:shd w:fill="F7FAFC"/>
            <w:tcMar>
              <w:top w:w="90" w:type="dxa"/>
              <w:start w:w="110" w:type="dxa"/>
              <w:bottom w:w="90" w:type="dxa"/>
              <w:end w:w="120" w:type="dxa"/>
            </w:tcMar>
            <w:vAlign w:val="center"/>
          </w:tcPr>
          <w:p>
            <w:pPr>
              <w:jc w:val="center"/>
            </w:pPr>
            <w:r>
              <w:rPr>
                <w:rFonts w:ascii="Calibri" w:hAnsi="Calibri"/>
                <w:b/>
                <w:color w:val="153A59"/>
                <w:sz w:val="20"/>
              </w:rPr>
              <w:t>1</w:t>
            </w:r>
          </w:p>
        </w:tc>
        <w:tc>
          <w:tcPr>
            <w:tcW w:type="dxa" w:w="4762"/>
            <w:shd w:fill="F7FAFC"/>
            <w:tcMar>
              <w:top w:w="90" w:type="dxa"/>
              <w:start w:w="110" w:type="dxa"/>
              <w:bottom w:w="90" w:type="dxa"/>
              <w:end w:w="120" w:type="dxa"/>
            </w:tcMar>
            <w:vAlign w:val="center"/>
          </w:tcPr>
          <w:p>
            <w:r>
              <w:rPr>
                <w:rFonts w:ascii="Calibri" w:hAnsi="Calibri"/>
                <w:color w:val="20323F"/>
                <w:sz w:val="20"/>
              </w:rPr>
              <w:t>Recognition that access to safe water is a right tied to dignity, health, and peace.</w:t>
            </w:r>
          </w:p>
        </w:tc>
      </w:tr>
      <w:tr>
        <w:tc>
          <w:tcPr>
            <w:tcW w:type="dxa" w:w="4762"/>
            <w:tcMar>
              <w:top w:w="90" w:type="dxa"/>
              <w:start w:w="110" w:type="dxa"/>
              <w:bottom w:w="90" w:type="dxa"/>
              <w:end w:w="120" w:type="dxa"/>
            </w:tcMar>
            <w:vAlign w:val="center"/>
          </w:tcPr>
          <w:p>
            <w:pPr>
              <w:jc w:val="center"/>
            </w:pPr>
            <w:r>
              <w:rPr>
                <w:rFonts w:ascii="Calibri" w:hAnsi="Calibri"/>
                <w:b/>
                <w:color w:val="153A59"/>
                <w:sz w:val="20"/>
              </w:rPr>
              <w:t>2</w:t>
            </w:r>
          </w:p>
        </w:tc>
        <w:tc>
          <w:tcPr>
            <w:tcW w:type="dxa" w:w="4762"/>
            <w:tcMar>
              <w:top w:w="90" w:type="dxa"/>
              <w:start w:w="110" w:type="dxa"/>
              <w:bottom w:w="90" w:type="dxa"/>
              <w:end w:w="120" w:type="dxa"/>
            </w:tcMar>
            <w:vAlign w:val="center"/>
          </w:tcPr>
          <w:p>
            <w:r>
              <w:rPr>
                <w:rFonts w:ascii="Calibri" w:hAnsi="Calibri"/>
                <w:color w:val="20323F"/>
                <w:sz w:val="20"/>
              </w:rPr>
              <w:t>Rejection of water as an instrument of coercion, war, blackmail, discrimination, or predatory speculation.</w:t>
            </w:r>
          </w:p>
        </w:tc>
      </w:tr>
      <w:tr>
        <w:tc>
          <w:tcPr>
            <w:tcW w:type="dxa" w:w="4762"/>
            <w:shd w:fill="F7FAFC"/>
            <w:tcMar>
              <w:top w:w="90" w:type="dxa"/>
              <w:start w:w="110" w:type="dxa"/>
              <w:bottom w:w="90" w:type="dxa"/>
              <w:end w:w="120" w:type="dxa"/>
            </w:tcMar>
            <w:vAlign w:val="center"/>
          </w:tcPr>
          <w:p>
            <w:pPr>
              <w:jc w:val="center"/>
            </w:pPr>
            <w:r>
              <w:rPr>
                <w:rFonts w:ascii="Calibri" w:hAnsi="Calibri"/>
                <w:b/>
                <w:color w:val="153A59"/>
                <w:sz w:val="20"/>
              </w:rPr>
              <w:t>3</w:t>
            </w:r>
          </w:p>
        </w:tc>
        <w:tc>
          <w:tcPr>
            <w:tcW w:type="dxa" w:w="4762"/>
            <w:shd w:fill="F7FAFC"/>
            <w:tcMar>
              <w:top w:w="90" w:type="dxa"/>
              <w:start w:w="110" w:type="dxa"/>
              <w:bottom w:w="90" w:type="dxa"/>
              <w:end w:w="120" w:type="dxa"/>
            </w:tcMar>
            <w:vAlign w:val="center"/>
          </w:tcPr>
          <w:p>
            <w:r>
              <w:rPr>
                <w:rFonts w:ascii="Calibri" w:hAnsi="Calibri"/>
                <w:color w:val="20323F"/>
                <w:sz w:val="20"/>
              </w:rPr>
              <w:t>Acceptance of scientific validation, auditable evidence, and truthful performance communication.</w:t>
            </w:r>
          </w:p>
        </w:tc>
      </w:tr>
      <w:tr>
        <w:tc>
          <w:tcPr>
            <w:tcW w:type="dxa" w:w="4762"/>
            <w:tcMar>
              <w:top w:w="90" w:type="dxa"/>
              <w:start w:w="110" w:type="dxa"/>
              <w:bottom w:w="90" w:type="dxa"/>
              <w:end w:w="120" w:type="dxa"/>
            </w:tcMar>
            <w:vAlign w:val="center"/>
          </w:tcPr>
          <w:p>
            <w:pPr>
              <w:jc w:val="center"/>
            </w:pPr>
            <w:r>
              <w:rPr>
                <w:rFonts w:ascii="Calibri" w:hAnsi="Calibri"/>
                <w:b/>
                <w:color w:val="153A59"/>
                <w:sz w:val="20"/>
              </w:rPr>
              <w:t>4</w:t>
            </w:r>
          </w:p>
        </w:tc>
        <w:tc>
          <w:tcPr>
            <w:tcW w:type="dxa" w:w="4762"/>
            <w:tcMar>
              <w:top w:w="90" w:type="dxa"/>
              <w:start w:w="110" w:type="dxa"/>
              <w:bottom w:w="90" w:type="dxa"/>
              <w:end w:w="120" w:type="dxa"/>
            </w:tcMar>
            <w:vAlign w:val="center"/>
          </w:tcPr>
          <w:p>
            <w:r>
              <w:rPr>
                <w:rFonts w:ascii="Calibri" w:hAnsi="Calibri"/>
                <w:color w:val="20323F"/>
                <w:sz w:val="20"/>
              </w:rPr>
              <w:t>Respect for environmental stewardship, responsible discharge logic, and long-term planetary resilience.</w:t>
            </w:r>
          </w:p>
        </w:tc>
      </w:tr>
      <w:tr>
        <w:tc>
          <w:tcPr>
            <w:tcW w:type="dxa" w:w="4762"/>
            <w:shd w:fill="F7FAFC"/>
            <w:tcMar>
              <w:top w:w="90" w:type="dxa"/>
              <w:start w:w="110" w:type="dxa"/>
              <w:bottom w:w="90" w:type="dxa"/>
              <w:end w:w="120" w:type="dxa"/>
            </w:tcMar>
            <w:vAlign w:val="center"/>
          </w:tcPr>
          <w:p>
            <w:pPr>
              <w:jc w:val="center"/>
            </w:pPr>
            <w:r>
              <w:rPr>
                <w:rFonts w:ascii="Calibri" w:hAnsi="Calibri"/>
                <w:b/>
                <w:color w:val="153A59"/>
                <w:sz w:val="20"/>
              </w:rPr>
              <w:t>5</w:t>
            </w:r>
          </w:p>
        </w:tc>
        <w:tc>
          <w:tcPr>
            <w:tcW w:type="dxa" w:w="4762"/>
            <w:shd w:fill="F7FAFC"/>
            <w:tcMar>
              <w:top w:w="90" w:type="dxa"/>
              <w:start w:w="110" w:type="dxa"/>
              <w:bottom w:w="90" w:type="dxa"/>
              <w:end w:w="120" w:type="dxa"/>
            </w:tcMar>
            <w:vAlign w:val="center"/>
          </w:tcPr>
          <w:p>
            <w:r>
              <w:rPr>
                <w:rFonts w:ascii="Calibri" w:hAnsi="Calibri"/>
                <w:color w:val="20323F"/>
                <w:sz w:val="20"/>
              </w:rPr>
              <w:t>Respect for bounded, accountable digital governance, including cybersecurity and human oversight.</w:t>
            </w:r>
          </w:p>
        </w:tc>
      </w:tr>
      <w:tr>
        <w:tc>
          <w:tcPr>
            <w:tcW w:type="dxa" w:w="4762"/>
            <w:tcMar>
              <w:top w:w="90" w:type="dxa"/>
              <w:start w:w="110" w:type="dxa"/>
              <w:bottom w:w="90" w:type="dxa"/>
              <w:end w:w="120" w:type="dxa"/>
            </w:tcMar>
            <w:vAlign w:val="center"/>
          </w:tcPr>
          <w:p>
            <w:pPr>
              <w:jc w:val="center"/>
            </w:pPr>
            <w:r>
              <w:rPr>
                <w:rFonts w:ascii="Calibri" w:hAnsi="Calibri"/>
                <w:b/>
                <w:color w:val="153A59"/>
                <w:sz w:val="20"/>
              </w:rPr>
              <w:t>6</w:t>
            </w:r>
          </w:p>
        </w:tc>
        <w:tc>
          <w:tcPr>
            <w:tcW w:type="dxa" w:w="4762"/>
            <w:tcMar>
              <w:top w:w="90" w:type="dxa"/>
              <w:start w:w="110" w:type="dxa"/>
              <w:bottom w:w="90" w:type="dxa"/>
              <w:end w:w="120" w:type="dxa"/>
            </w:tcMar>
            <w:vAlign w:val="center"/>
          </w:tcPr>
          <w:p>
            <w:r>
              <w:rPr>
                <w:rFonts w:ascii="Calibri" w:hAnsi="Calibri"/>
                <w:color w:val="20323F"/>
                <w:sz w:val="20"/>
              </w:rPr>
              <w:t>Respect for community inclusion, operator training, and non-exploitative partnership conduct in the field.</w:t>
            </w:r>
          </w:p>
        </w:tc>
      </w:tr>
      <w:tr>
        <w:tc>
          <w:tcPr>
            <w:tcW w:type="dxa" w:w="4762"/>
            <w:shd w:fill="F7FAFC"/>
            <w:tcMar>
              <w:top w:w="90" w:type="dxa"/>
              <w:start w:w="110" w:type="dxa"/>
              <w:bottom w:w="90" w:type="dxa"/>
              <w:end w:w="120" w:type="dxa"/>
            </w:tcMar>
            <w:vAlign w:val="center"/>
          </w:tcPr>
          <w:p>
            <w:pPr>
              <w:jc w:val="center"/>
            </w:pPr>
            <w:r>
              <w:rPr>
                <w:rFonts w:ascii="Calibri" w:hAnsi="Calibri"/>
                <w:b/>
                <w:color w:val="153A59"/>
                <w:sz w:val="20"/>
              </w:rPr>
              <w:t>7</w:t>
            </w:r>
          </w:p>
        </w:tc>
        <w:tc>
          <w:tcPr>
            <w:tcW w:type="dxa" w:w="4762"/>
            <w:shd w:fill="F7FAFC"/>
            <w:tcMar>
              <w:top w:w="90" w:type="dxa"/>
              <w:start w:w="110" w:type="dxa"/>
              <w:bottom w:w="90" w:type="dxa"/>
              <w:end w:w="120" w:type="dxa"/>
            </w:tcMar>
            <w:vAlign w:val="center"/>
          </w:tcPr>
          <w:p>
            <w:r>
              <w:rPr>
                <w:rFonts w:ascii="Calibri" w:hAnsi="Calibri"/>
                <w:color w:val="20323F"/>
                <w:sz w:val="20"/>
              </w:rPr>
              <w:t>Commitment not to use Aqua Vitaque systems or data to enable surveillance abuse, unlawful exclusion, or manipulation of vulnerable populations.</w:t>
            </w:r>
          </w:p>
        </w:tc>
      </w:tr>
      <w:tr>
        <w:tc>
          <w:tcPr>
            <w:tcW w:type="dxa" w:w="4762"/>
            <w:tcMar>
              <w:top w:w="90" w:type="dxa"/>
              <w:start w:w="110" w:type="dxa"/>
              <w:bottom w:w="90" w:type="dxa"/>
              <w:end w:w="120" w:type="dxa"/>
            </w:tcMar>
            <w:vAlign w:val="center"/>
          </w:tcPr>
          <w:p>
            <w:pPr>
              <w:jc w:val="center"/>
            </w:pPr>
            <w:r>
              <w:rPr>
                <w:rFonts w:ascii="Calibri" w:hAnsi="Calibri"/>
                <w:b/>
                <w:color w:val="153A59"/>
                <w:sz w:val="20"/>
              </w:rPr>
              <w:t>8</w:t>
            </w:r>
          </w:p>
        </w:tc>
        <w:tc>
          <w:tcPr>
            <w:tcW w:type="dxa" w:w="4762"/>
            <w:tcMar>
              <w:top w:w="90" w:type="dxa"/>
              <w:start w:w="110" w:type="dxa"/>
              <w:bottom w:w="90" w:type="dxa"/>
              <w:end w:w="120" w:type="dxa"/>
            </w:tcMar>
            <w:vAlign w:val="center"/>
          </w:tcPr>
          <w:p>
            <w:r>
              <w:rPr>
                <w:rFonts w:ascii="Calibri" w:hAnsi="Calibri"/>
                <w:color w:val="20323F"/>
                <w:sz w:val="20"/>
              </w:rPr>
              <w:t>Acceptance that breach of these principles is grounds for refusal, suspension, or termination of collaboration.</w:t>
            </w:r>
          </w:p>
        </w:tc>
      </w:tr>
    </w:tbl>
    <w:p>
      <w:pPr>
        <w:pStyle w:val="SectionHead"/>
        <w:spacing w:before="280" w:after="100"/>
        <w:pBdr>
          <w:bottom w:val="single" w:sz="8" w:space="5" w:color="D7E1E8"/>
        </w:pBdr>
      </w:pPr>
      <w:r>
        <w:rPr>
          <w:rFonts w:ascii="Georgia" w:hAnsi="Georgia"/>
          <w:b/>
          <w:color w:val="153A59"/>
          <w:sz w:val="30"/>
        </w:rPr>
        <w:t>VIII. Partner Covenant</w:t>
      </w:r>
    </w:p>
    <w:p>
      <w:pPr>
        <w:spacing w:after="160" w:line="283" w:lineRule="auto"/>
      </w:pPr>
      <w:r>
        <w:rPr>
          <w:rFonts w:ascii="Calibri" w:hAnsi="Calibri"/>
          <w:color w:val="20323F"/>
          <w:sz w:val="21"/>
        </w:rPr>
        <w:t>Any institution, donor, investor, operator, public authority, industrial party, scientific body, humanitarian actor, or implementation partner entering into cooperation with Aqua Vitaque shall be expected to act in conformity with this manifesto not only in language, but in conduct, procurement, deployment, communications, and operational governance.</w:t>
      </w:r>
    </w:p>
    <w:p>
      <w:pPr>
        <w:spacing w:after="160" w:line="283" w:lineRule="auto"/>
      </w:pPr>
      <w:r>
        <w:rPr>
          <w:rFonts w:ascii="Calibri" w:hAnsi="Calibri"/>
          <w:color w:val="20323F"/>
          <w:sz w:val="21"/>
        </w:rPr>
        <w:t>Subscription to this manifesto is not ceremonial. It is a condition of trust. It signifies that the undersigned party accepts that water infrastructure serving vulnerable people and ecosystems must remain accountable to justice, evidence, and non-coercive use.</w:t>
      </w:r>
    </w:p>
    <w:p>
      <w:pPr>
        <w:spacing w:after="160" w:line="283" w:lineRule="auto"/>
      </w:pPr>
      <w:r>
        <w:rPr>
          <w:rFonts w:ascii="Calibri" w:hAnsi="Calibri"/>
          <w:color w:val="20323F"/>
          <w:sz w:val="21"/>
        </w:rPr>
        <w:t>Where tension arises between commercial expediency and the principles of this manifesto, the principles shall prevail. Where legal permissibility conflicts with humanitarian duty, Aqua Vitaque reserves the right to refuse participation, endorsement, or technical cooperation.</w:t>
      </w:r>
    </w:p>
    <w:tbl>
      <w:tblPr>
        <w:tblW w:type="auto" w:w="0"/>
        <w:jc w:val="center"/>
        <w:tblLayout w:type="fixed"/>
        <w:tblLook w:firstColumn="1" w:firstRow="1" w:lastColumn="0" w:lastRow="0" w:noHBand="0" w:noVBand="1" w:val="04A0"/>
        <w:tblBorders>
          <w:top w:val="single" w:sz="10" w:space="0" w:color="B8CBD8"/>
          <w:left w:val="single" w:sz="10" w:space="0" w:color="B8CBD8"/>
          <w:bottom w:val="single" w:sz="10" w:space="0" w:color="B8CBD8"/>
          <w:right w:val="single" w:sz="10" w:space="0" w:color="B8CBD8"/>
          <w:insideH w:val="single" w:sz="10" w:space="0" w:color="B8CBD8"/>
          <w:insideV w:val="single" w:sz="10" w:space="0" w:color="B8CBD8"/>
        </w:tblBorders>
      </w:tblPr>
      <w:tblGrid>
        <w:gridCol w:w="9524"/>
      </w:tblGrid>
      <w:tr>
        <w:tc>
          <w:tcPr>
            <w:tcW w:type="dxa" w:w="9524"/>
            <w:shd w:fill="EAF1F5"/>
            <w:tcMar>
              <w:top w:w="150" w:type="dxa"/>
              <w:start w:w="180" w:type="dxa"/>
              <w:bottom w:w="150" w:type="dxa"/>
              <w:end w:w="180" w:type="dxa"/>
            </w:tcMar>
          </w:tcPr>
          <w:p>
            <w:pPr>
              <w:jc w:val="center"/>
            </w:pPr>
            <w:r>
              <w:rPr>
                <w:rFonts w:ascii="Georgia" w:hAnsi="Georgia"/>
                <w:i/>
                <w:color w:val="153A59"/>
                <w:sz w:val="23"/>
              </w:rPr>
              <w:t>Aqua Vitaque is a mission for humanity. We will work with those who defend water as a right, protect it with science, govern it with integrity, and refuse to turn it into a tool of domination or speculation.</w:t>
            </w:r>
          </w:p>
        </w:tc>
      </w:tr>
    </w:tbl>
    <w:p>
      <w:r>
        <w:br w:type="page"/>
      </w:r>
    </w:p>
    <w:p>
      <w:pPr>
        <w:pStyle w:val="SectionHead"/>
        <w:spacing w:before="720"/>
      </w:pPr>
      <w:r>
        <w:t>On the Name Aqua Vitaque</w:t>
      </w:r>
    </w:p>
    <w:p>
      <w:pPr>
        <w:spacing w:after="200"/>
      </w:pPr>
      <w:r>
        <w:t>Aqua Vitaque is chosen in Latin so the initiative speaks beyond borders and divisions with a shared civilizational language. The enclitic -que is intentional: it does not merely join water and life as separate terms, but binds them in one inseparable condition. Humanity searches for water before it can confirm life; to preserve life on Earth, water must be defended.</w:t>
      </w:r>
    </w:p>
    <w:p>
      <w:pPr>
        <w:pStyle w:val="QuoteLine"/>
        <w:spacing w:before="520" w:after="160"/>
        <w:jc w:val="center"/>
      </w:pPr>
      <w:r>
        <w:t>Before humanity confirms life, it looks for water.</w:t>
        <w:br/>
        <w:t>To preserve life on Earth, water must be defended.</w:t>
      </w:r>
    </w:p>
    <w:p>
      <w:r>
        <w:br w:type="page"/>
      </w:r>
    </w:p>
    <w:p>
      <w:pPr>
        <w:pStyle w:val="ManifestoTitle"/>
        <w:spacing w:after="80"/>
        <w:jc w:val="center"/>
      </w:pPr>
      <w:r>
        <w:rPr>
          <w:rFonts w:ascii="Georgia" w:hAnsi="Georgia"/>
          <w:b/>
          <w:color w:val="153A59"/>
          <w:sz w:val="40"/>
        </w:rPr>
        <w:t>Declaration of Adherence</w:t>
      </w:r>
    </w:p>
    <w:p>
      <w:pPr>
        <w:pStyle w:val="ManifestoSubtitle"/>
        <w:spacing w:after="280"/>
        <w:jc w:val="center"/>
      </w:pPr>
      <w:r>
        <w:rPr>
          <w:rFonts w:ascii="Calibri" w:hAnsi="Calibri"/>
          <w:i/>
          <w:color w:val="496A80"/>
          <w:sz w:val="22"/>
        </w:rPr>
        <w:t>To be signed by every collaborating party, institution, or representative</w:t>
      </w:r>
    </w:p>
    <w:p>
      <w:pPr>
        <w:spacing w:after="200" w:line="288" w:lineRule="auto"/>
      </w:pPr>
      <w:r>
        <w:rPr>
          <w:rFonts w:ascii="Calibri" w:hAnsi="Calibri"/>
          <w:color w:val="20323F"/>
          <w:sz w:val="21"/>
        </w:rPr>
        <w:t>By signing below, the undersigned affirms that they have read, understood, and accepted the Aqua Vitaque Foundational Manifesto and undertake to respect its ethical, humanitarian, scientific, ecological, and governance commitments in all forms of collaboration with Aqua Vitaque.</w:t>
      </w:r>
    </w:p>
    <w:tbl>
      <w:tblPr>
        <w:tblW w:type="auto" w:w="0"/>
        <w:jc w:val="center"/>
        <w:tblLayout w:type="fixed"/>
        <w:tblLook w:firstColumn="1" w:firstRow="1" w:lastColumn="0" w:lastRow="0" w:noHBand="0" w:noVBand="1" w:val="04A0"/>
        <w:tblBorders>
          <w:top w:val="single" w:sz="8" w:space="0" w:color="C9D8E3"/>
          <w:left w:val="single" w:sz="8" w:space="0" w:color="C9D8E3"/>
          <w:bottom w:val="single" w:sz="8" w:space="0" w:color="C9D8E3"/>
          <w:right w:val="single" w:sz="8" w:space="0" w:color="C9D8E3"/>
          <w:insideH w:val="single" w:sz="8" w:space="0" w:color="C9D8E3"/>
          <w:insideV w:val="single" w:sz="8" w:space="0" w:color="C9D8E3"/>
        </w:tblBorders>
      </w:tblPr>
      <w:tblGrid>
        <w:gridCol w:w="2891"/>
        <w:gridCol w:w="6633"/>
      </w:tblGrid>
      <w:tr>
        <w:tc>
          <w:tcPr>
            <w:tcW w:type="dxa" w:w="4762"/>
            <w:shd w:fill="F4F8FB"/>
            <w:tcMar>
              <w:top w:w="120" w:type="dxa"/>
              <w:start w:w="120" w:type="dxa"/>
              <w:bottom w:w="120" w:type="dxa"/>
              <w:end w:w="120" w:type="dxa"/>
            </w:tcMar>
            <w:vAlign w:val="center"/>
          </w:tcPr>
          <w:p>
            <w:r>
              <w:rPr>
                <w:rFonts w:ascii="Calibri" w:hAnsi="Calibri"/>
                <w:b/>
                <w:color w:val="153A59"/>
                <w:sz w:val="20"/>
              </w:rPr>
              <w:t>Institution / Organization</w:t>
            </w:r>
          </w:p>
        </w:tc>
        <w:tc>
          <w:tcPr>
            <w:tcW w:type="dxa" w:w="4762"/>
            <w:tcMar>
              <w:top w:w="120" w:type="dxa"/>
              <w:start w:w="120" w:type="dxa"/>
              <w:bottom w:w="120" w:type="dxa"/>
              <w:end w:w="120" w:type="dxa"/>
            </w:tcMar>
            <w:vAlign w:val="center"/>
          </w:tcPr>
          <w:p/>
        </w:tc>
      </w:tr>
      <w:tr>
        <w:tc>
          <w:tcPr>
            <w:tcW w:type="dxa" w:w="4762"/>
            <w:shd w:fill="F4F8FB"/>
            <w:tcMar>
              <w:top w:w="120" w:type="dxa"/>
              <w:start w:w="120" w:type="dxa"/>
              <w:bottom w:w="120" w:type="dxa"/>
              <w:end w:w="120" w:type="dxa"/>
            </w:tcMar>
            <w:vAlign w:val="center"/>
          </w:tcPr>
          <w:p>
            <w:r>
              <w:rPr>
                <w:rFonts w:ascii="Calibri" w:hAnsi="Calibri"/>
                <w:b/>
                <w:color w:val="153A59"/>
                <w:sz w:val="20"/>
              </w:rPr>
              <w:t>Name and surname</w:t>
            </w:r>
          </w:p>
        </w:tc>
        <w:tc>
          <w:tcPr>
            <w:tcW w:type="dxa" w:w="4762"/>
            <w:tcMar>
              <w:top w:w="120" w:type="dxa"/>
              <w:start w:w="120" w:type="dxa"/>
              <w:bottom w:w="120" w:type="dxa"/>
              <w:end w:w="120" w:type="dxa"/>
            </w:tcMar>
            <w:vAlign w:val="center"/>
          </w:tcPr>
          <w:p/>
        </w:tc>
      </w:tr>
      <w:tr>
        <w:tc>
          <w:tcPr>
            <w:tcW w:type="dxa" w:w="4762"/>
            <w:shd w:fill="F4F8FB"/>
            <w:tcMar>
              <w:top w:w="120" w:type="dxa"/>
              <w:start w:w="120" w:type="dxa"/>
              <w:bottom w:w="120" w:type="dxa"/>
              <w:end w:w="120" w:type="dxa"/>
            </w:tcMar>
            <w:vAlign w:val="center"/>
          </w:tcPr>
          <w:p>
            <w:r>
              <w:rPr>
                <w:rFonts w:ascii="Calibri" w:hAnsi="Calibri"/>
                <w:b/>
                <w:color w:val="153A59"/>
                <w:sz w:val="20"/>
              </w:rPr>
              <w:t>Role / Title</w:t>
            </w:r>
          </w:p>
        </w:tc>
        <w:tc>
          <w:tcPr>
            <w:tcW w:type="dxa" w:w="4762"/>
            <w:tcMar>
              <w:top w:w="120" w:type="dxa"/>
              <w:start w:w="120" w:type="dxa"/>
              <w:bottom w:w="120" w:type="dxa"/>
              <w:end w:w="120" w:type="dxa"/>
            </w:tcMar>
            <w:vAlign w:val="center"/>
          </w:tcPr>
          <w:p/>
        </w:tc>
      </w:tr>
      <w:tr>
        <w:tc>
          <w:tcPr>
            <w:tcW w:type="dxa" w:w="4762"/>
            <w:shd w:fill="F4F8FB"/>
            <w:tcMar>
              <w:top w:w="120" w:type="dxa"/>
              <w:start w:w="120" w:type="dxa"/>
              <w:bottom w:w="120" w:type="dxa"/>
              <w:end w:w="120" w:type="dxa"/>
            </w:tcMar>
            <w:vAlign w:val="center"/>
          </w:tcPr>
          <w:p>
            <w:r>
              <w:rPr>
                <w:rFonts w:ascii="Calibri" w:hAnsi="Calibri"/>
                <w:b/>
                <w:color w:val="153A59"/>
                <w:sz w:val="20"/>
              </w:rPr>
              <w:t>Country</w:t>
            </w:r>
          </w:p>
        </w:tc>
        <w:tc>
          <w:tcPr>
            <w:tcW w:type="dxa" w:w="4762"/>
            <w:tcMar>
              <w:top w:w="120" w:type="dxa"/>
              <w:start w:w="120" w:type="dxa"/>
              <w:bottom w:w="120" w:type="dxa"/>
              <w:end w:w="120" w:type="dxa"/>
            </w:tcMar>
            <w:vAlign w:val="center"/>
          </w:tcPr>
          <w:p/>
        </w:tc>
      </w:tr>
      <w:tr>
        <w:tc>
          <w:tcPr>
            <w:tcW w:type="dxa" w:w="4762"/>
            <w:shd w:fill="F4F8FB"/>
            <w:tcMar>
              <w:top w:w="120" w:type="dxa"/>
              <w:start w:w="120" w:type="dxa"/>
              <w:bottom w:w="120" w:type="dxa"/>
              <w:end w:w="120" w:type="dxa"/>
            </w:tcMar>
            <w:vAlign w:val="center"/>
          </w:tcPr>
          <w:p>
            <w:r>
              <w:rPr>
                <w:rFonts w:ascii="Calibri" w:hAnsi="Calibri"/>
                <w:b/>
                <w:color w:val="153A59"/>
                <w:sz w:val="20"/>
              </w:rPr>
              <w:t>Email</w:t>
            </w:r>
          </w:p>
        </w:tc>
        <w:tc>
          <w:tcPr>
            <w:tcW w:type="dxa" w:w="4762"/>
            <w:tcMar>
              <w:top w:w="120" w:type="dxa"/>
              <w:start w:w="120" w:type="dxa"/>
              <w:bottom w:w="120" w:type="dxa"/>
              <w:end w:w="120" w:type="dxa"/>
            </w:tcMar>
            <w:vAlign w:val="center"/>
          </w:tcPr>
          <w:p/>
        </w:tc>
      </w:tr>
      <w:tr>
        <w:tc>
          <w:tcPr>
            <w:tcW w:type="dxa" w:w="4762"/>
            <w:shd w:fill="F4F8FB"/>
            <w:tcMar>
              <w:top w:w="120" w:type="dxa"/>
              <w:start w:w="120" w:type="dxa"/>
              <w:bottom w:w="120" w:type="dxa"/>
              <w:end w:w="120" w:type="dxa"/>
            </w:tcMar>
            <w:vAlign w:val="center"/>
          </w:tcPr>
          <w:p>
            <w:r>
              <w:rPr>
                <w:rFonts w:ascii="Calibri" w:hAnsi="Calibri"/>
                <w:b/>
                <w:color w:val="153A59"/>
                <w:sz w:val="20"/>
              </w:rPr>
              <w:t>Date</w:t>
            </w:r>
          </w:p>
        </w:tc>
        <w:tc>
          <w:tcPr>
            <w:tcW w:type="dxa" w:w="4762"/>
            <w:tcMar>
              <w:top w:w="120" w:type="dxa"/>
              <w:start w:w="120" w:type="dxa"/>
              <w:bottom w:w="120" w:type="dxa"/>
              <w:end w:w="120" w:type="dxa"/>
            </w:tcMar>
            <w:vAlign w:val="center"/>
          </w:tcPr>
          <w:p/>
        </w:tc>
      </w:tr>
      <w:tr>
        <w:tc>
          <w:tcPr>
            <w:tcW w:type="dxa" w:w="4762"/>
            <w:shd w:fill="F4F8FB"/>
            <w:tcMar>
              <w:top w:w="220" w:type="dxa"/>
              <w:start w:w="120" w:type="dxa"/>
              <w:bottom w:w="220" w:type="dxa"/>
              <w:end w:w="120" w:type="dxa"/>
            </w:tcMar>
            <w:vAlign w:val="center"/>
          </w:tcPr>
          <w:p>
            <w:r>
              <w:rPr>
                <w:rFonts w:ascii="Calibri" w:hAnsi="Calibri"/>
                <w:b/>
                <w:color w:val="153A59"/>
                <w:sz w:val="20"/>
              </w:rPr>
              <w:t>Signature</w:t>
            </w:r>
          </w:p>
        </w:tc>
        <w:tc>
          <w:tcPr>
            <w:tcW w:type="dxa" w:w="4762"/>
            <w:tcMar>
              <w:top w:w="220" w:type="dxa"/>
              <w:start w:w="120" w:type="dxa"/>
              <w:bottom w:w="220" w:type="dxa"/>
              <w:end w:w="120" w:type="dxa"/>
            </w:tcMar>
            <w:vAlign w:val="center"/>
          </w:tcPr>
          <w:p/>
        </w:tc>
      </w:tr>
      <w:tr>
        <w:tc>
          <w:tcPr>
            <w:tcW w:type="dxa" w:w="4762"/>
            <w:shd w:fill="F4F8FB"/>
            <w:tcMar>
              <w:top w:w="220" w:type="dxa"/>
              <w:start w:w="120" w:type="dxa"/>
              <w:bottom w:w="220" w:type="dxa"/>
              <w:end w:w="120" w:type="dxa"/>
            </w:tcMar>
            <w:vAlign w:val="center"/>
          </w:tcPr>
          <w:p>
            <w:r>
              <w:rPr>
                <w:rFonts w:ascii="Calibri" w:hAnsi="Calibri"/>
                <w:b/>
                <w:color w:val="153A59"/>
                <w:sz w:val="20"/>
              </w:rPr>
              <w:t>Official stamp (if applicable)</w:t>
            </w:r>
          </w:p>
        </w:tc>
        <w:tc>
          <w:tcPr>
            <w:tcW w:type="dxa" w:w="4762"/>
            <w:tcMar>
              <w:top w:w="220" w:type="dxa"/>
              <w:start w:w="120" w:type="dxa"/>
              <w:bottom w:w="220" w:type="dxa"/>
              <w:end w:w="120" w:type="dxa"/>
            </w:tcMar>
            <w:vAlign w:val="center"/>
          </w:tcPr>
          <w:p/>
        </w:tc>
      </w:tr>
    </w:tbl>
    <w:p>
      <w:pPr>
        <w:spacing w:before="280" w:after="120"/>
      </w:pPr>
      <w:r>
        <w:rPr>
          <w:rFonts w:ascii="Calibri" w:hAnsi="Calibri"/>
          <w:b/>
          <w:color w:val="153A59"/>
          <w:sz w:val="22"/>
        </w:rPr>
        <w:t>Optional witness / Aqua Vitaque representative</w:t>
      </w:r>
    </w:p>
    <w:tbl>
      <w:tblPr>
        <w:tblW w:type="auto" w:w="0"/>
        <w:jc w:val="center"/>
        <w:tblLayout w:type="fixed"/>
        <w:tblLook w:firstColumn="1" w:firstRow="1" w:lastColumn="0" w:lastRow="0" w:noHBand="0" w:noVBand="1" w:val="04A0"/>
        <w:tblBorders>
          <w:top w:val="single" w:sz="8" w:space="0" w:color="D3DEE6"/>
          <w:left w:val="single" w:sz="8" w:space="0" w:color="D3DEE6"/>
          <w:bottom w:val="single" w:sz="8" w:space="0" w:color="D3DEE6"/>
          <w:right w:val="single" w:sz="8" w:space="0" w:color="D3DEE6"/>
          <w:insideH w:val="single" w:sz="8" w:space="0" w:color="D3DEE6"/>
          <w:insideV w:val="single" w:sz="8" w:space="0" w:color="D3DEE6"/>
        </w:tblBorders>
      </w:tblPr>
      <w:tblGrid>
        <w:gridCol w:w="2891"/>
        <w:gridCol w:w="6633"/>
      </w:tblGrid>
      <w:tr>
        <w:tc>
          <w:tcPr>
            <w:tcW w:type="dxa" w:w="4762"/>
            <w:shd w:fill="F9FBFC"/>
            <w:tcMar>
              <w:top w:w="110" w:type="dxa"/>
              <w:start w:w="120" w:type="dxa"/>
              <w:bottom w:w="110" w:type="dxa"/>
              <w:end w:w="120" w:type="dxa"/>
            </w:tcMar>
          </w:tcPr>
          <w:p>
            <w:r>
              <w:rPr>
                <w:rFonts w:ascii="Calibri" w:hAnsi="Calibri"/>
                <w:b/>
                <w:color w:val="153A59"/>
                <w:sz w:val="20"/>
              </w:rPr>
              <w:t>Name</w:t>
            </w:r>
          </w:p>
        </w:tc>
        <w:tc>
          <w:tcPr>
            <w:tcW w:type="dxa" w:w="4762"/>
            <w:tcMar>
              <w:top w:w="110" w:type="dxa"/>
              <w:start w:w="120" w:type="dxa"/>
              <w:bottom w:w="110" w:type="dxa"/>
              <w:end w:w="120" w:type="dxa"/>
            </w:tcMar>
          </w:tcPr>
          <w:p/>
        </w:tc>
      </w:tr>
      <w:tr>
        <w:tc>
          <w:tcPr>
            <w:tcW w:type="dxa" w:w="4762"/>
            <w:shd w:fill="F9FBFC"/>
            <w:tcMar>
              <w:top w:w="110" w:type="dxa"/>
              <w:start w:w="120" w:type="dxa"/>
              <w:bottom w:w="110" w:type="dxa"/>
              <w:end w:w="120" w:type="dxa"/>
            </w:tcMar>
          </w:tcPr>
          <w:p>
            <w:r>
              <w:rPr>
                <w:rFonts w:ascii="Calibri" w:hAnsi="Calibri"/>
                <w:b/>
                <w:color w:val="153A59"/>
                <w:sz w:val="20"/>
              </w:rPr>
              <w:t>Role</w:t>
            </w:r>
          </w:p>
        </w:tc>
        <w:tc>
          <w:tcPr>
            <w:tcW w:type="dxa" w:w="4762"/>
            <w:tcMar>
              <w:top w:w="110" w:type="dxa"/>
              <w:start w:w="120" w:type="dxa"/>
              <w:bottom w:w="110" w:type="dxa"/>
              <w:end w:w="120" w:type="dxa"/>
            </w:tcMar>
          </w:tcPr>
          <w:p/>
        </w:tc>
      </w:tr>
      <w:tr>
        <w:tc>
          <w:tcPr>
            <w:tcW w:type="dxa" w:w="4762"/>
            <w:shd w:fill="F9FBFC"/>
            <w:tcMar>
              <w:top w:w="180" w:type="dxa"/>
              <w:start w:w="120" w:type="dxa"/>
              <w:bottom w:w="180" w:type="dxa"/>
              <w:end w:w="120" w:type="dxa"/>
            </w:tcMar>
          </w:tcPr>
          <w:p>
            <w:r>
              <w:rPr>
                <w:rFonts w:ascii="Calibri" w:hAnsi="Calibri"/>
                <w:b/>
                <w:color w:val="153A59"/>
                <w:sz w:val="20"/>
              </w:rPr>
              <w:t>Signature</w:t>
            </w:r>
          </w:p>
        </w:tc>
        <w:tc>
          <w:tcPr>
            <w:tcW w:type="dxa" w:w="4762"/>
            <w:tcMar>
              <w:top w:w="180" w:type="dxa"/>
              <w:start w:w="120" w:type="dxa"/>
              <w:bottom w:w="180" w:type="dxa"/>
              <w:end w:w="120" w:type="dxa"/>
            </w:tcMar>
          </w:tcPr>
          <w:p/>
        </w:tc>
      </w:tr>
    </w:tbl>
    <w:p>
      <w:pPr>
        <w:spacing w:before="280" w:after="0" w:line="276" w:lineRule="auto"/>
      </w:pPr>
      <w:r>
        <w:rPr>
          <w:rFonts w:ascii="Calibri" w:hAnsi="Calibri"/>
          <w:i/>
          <w:color w:val="5D7382"/>
          <w:sz w:val="19"/>
        </w:rPr>
        <w:t>This manifesto may be annexed to memoranda of understanding, partnership agreements, technical cooperation documents, pilot authorizations, procurement packages, donor frameworks, or field deployment protocols as the governing ethical declaration of Aqua Vitaque.</w:t>
      </w:r>
    </w:p>
    <w:sectPr w:rsidR="00FC693F" w:rsidRPr="0006063C" w:rsidSect="00034616">
      <w:footerReference w:type="default" r:id="rId9"/>
      <w:pgSz w:w="11906" w:h="16838"/>
      <w:pgMar w:top="1077"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07B8B"/>
        <w:sz w:val="18"/>
      </w:rPr>
      <w:t xml:space="preserve">Aqua Vitaque | Foundational Manifesto | 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nifestoTitle">
    <w:name w:val="ManifestoTitle"/>
    <w:rPr>
      <w:rFonts w:ascii="Georgia" w:hAnsi="Georgia"/>
      <w:b/>
      <w:color w:val="153A59"/>
      <w:sz w:val="48"/>
    </w:rPr>
  </w:style>
  <w:style w:type="paragraph" w:customStyle="1" w:styleId="ManifestoSubtitle">
    <w:name w:val="ManifestoSubtitle"/>
    <w:rPr>
      <w:rFonts w:ascii="Calibri" w:hAnsi="Calibri"/>
      <w:color w:val="496A80"/>
      <w:sz w:val="23"/>
    </w:rPr>
  </w:style>
  <w:style w:type="paragraph" w:customStyle="1" w:styleId="SectionHead">
    <w:name w:val="SectionHead"/>
    <w:rPr>
      <w:rFonts w:ascii="Georgia" w:hAnsi="Georgia"/>
      <w:b/>
      <w:color w:val="153A59"/>
      <w:sz w:val="30"/>
    </w:rPr>
  </w:style>
  <w:style w:type="paragraph" w:customStyle="1" w:styleId="QuoteLine">
    <w:name w:val="QuoteLine"/>
    <w:rPr>
      <w:rFonts w:ascii="Georgia" w:hAnsi="Georgia"/>
      <w:b/>
      <w:color w:val="153A59"/>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